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06" w:rsidRPr="00A8388E" w:rsidRDefault="00A90C06" w:rsidP="0056230C">
      <w:pPr>
        <w:rPr>
          <w:sz w:val="20"/>
        </w:rPr>
      </w:pPr>
      <w:r w:rsidRPr="00A8388E">
        <w:rPr>
          <w:sz w:val="20"/>
        </w:rPr>
        <w:t xml:space="preserve">The following Terminal Safety Rules apply to our valued outside-truck carriers, vendors and visitors while conducting business on the Conley Terminal.  These rules are for your safety and for those that are working around you.  Failure to abide by the Terminal Safety Rules may result in dismissal or suspension from the facility.  We thank you in advance for keeping the Port of Boston safe!   -Massport Management </w:t>
      </w:r>
    </w:p>
    <w:p w:rsidR="00A90C06" w:rsidRDefault="00A90C06" w:rsidP="0056230C">
      <w:pPr>
        <w:rPr>
          <w:sz w:val="22"/>
        </w:rPr>
      </w:pPr>
    </w:p>
    <w:p w:rsidR="00A90C06" w:rsidRDefault="00A90C06" w:rsidP="00A90C06">
      <w:pPr>
        <w:jc w:val="center"/>
        <w:rPr>
          <w:sz w:val="32"/>
          <w:u w:val="single"/>
        </w:rPr>
      </w:pPr>
      <w:r w:rsidRPr="00A90C06">
        <w:rPr>
          <w:sz w:val="32"/>
          <w:u w:val="single"/>
        </w:rPr>
        <w:t>Terminal Safety Rules</w:t>
      </w:r>
    </w:p>
    <w:p w:rsidR="00A90C06" w:rsidRPr="00C32349" w:rsidRDefault="00A90C06" w:rsidP="00A90C06">
      <w:pPr>
        <w:rPr>
          <w:u w:val="single"/>
        </w:rPr>
      </w:pPr>
    </w:p>
    <w:p w:rsidR="00A90C06" w:rsidRPr="00C32349" w:rsidRDefault="00A90C06" w:rsidP="00A90C06">
      <w:pPr>
        <w:pStyle w:val="ListParagraph"/>
        <w:numPr>
          <w:ilvl w:val="0"/>
          <w:numId w:val="1"/>
        </w:numPr>
        <w:rPr>
          <w:u w:val="single"/>
        </w:rPr>
      </w:pPr>
      <w:r w:rsidRPr="00C32349">
        <w:t xml:space="preserve">Reflective vest, shirt or jacket must be worn as the outermost layer. </w:t>
      </w:r>
    </w:p>
    <w:p w:rsidR="00C32349" w:rsidRPr="00C32349" w:rsidRDefault="00C32349" w:rsidP="00C32349">
      <w:pPr>
        <w:pStyle w:val="ListParagraph"/>
        <w:rPr>
          <w:u w:val="single"/>
        </w:rPr>
      </w:pPr>
    </w:p>
    <w:p w:rsidR="00A90C06" w:rsidRPr="00C32349" w:rsidRDefault="00A90C06" w:rsidP="00A90C06">
      <w:pPr>
        <w:pStyle w:val="ListParagraph"/>
        <w:numPr>
          <w:ilvl w:val="0"/>
          <w:numId w:val="1"/>
        </w:numPr>
        <w:rPr>
          <w:u w:val="single"/>
        </w:rPr>
      </w:pPr>
      <w:r w:rsidRPr="00C32349">
        <w:t xml:space="preserve">Closed toe shoes are required. </w:t>
      </w:r>
    </w:p>
    <w:p w:rsidR="00C32349" w:rsidRPr="00C32349" w:rsidRDefault="00C32349" w:rsidP="00C32349">
      <w:pPr>
        <w:rPr>
          <w:u w:val="single"/>
        </w:rPr>
      </w:pPr>
    </w:p>
    <w:p w:rsidR="00A90C06" w:rsidRPr="00C32349" w:rsidRDefault="00A90C06" w:rsidP="00A90C06">
      <w:pPr>
        <w:pStyle w:val="ListParagraph"/>
        <w:numPr>
          <w:ilvl w:val="0"/>
          <w:numId w:val="1"/>
        </w:numPr>
        <w:rPr>
          <w:u w:val="single"/>
        </w:rPr>
      </w:pPr>
      <w:r w:rsidRPr="00C32349">
        <w:t xml:space="preserve">15 MPH Speed Limit </w:t>
      </w:r>
      <w:r w:rsidR="00C32349">
        <w:t>throughout the entire terminal.</w:t>
      </w:r>
    </w:p>
    <w:p w:rsidR="00C32349" w:rsidRPr="00C32349" w:rsidRDefault="00C32349" w:rsidP="00C32349">
      <w:pPr>
        <w:rPr>
          <w:u w:val="single"/>
        </w:rPr>
      </w:pPr>
    </w:p>
    <w:p w:rsidR="00A90C06" w:rsidRPr="00A214E7" w:rsidRDefault="008D66D3" w:rsidP="00A90C06">
      <w:pPr>
        <w:pStyle w:val="ListParagraph"/>
        <w:numPr>
          <w:ilvl w:val="0"/>
          <w:numId w:val="1"/>
        </w:numPr>
        <w:rPr>
          <w:u w:val="single"/>
        </w:rPr>
      </w:pPr>
      <w:r w:rsidRPr="00C32349">
        <w:t xml:space="preserve">Traffic signs and markings are to be followed at all times – STOP signs and bars, pedestrian walk walks, DO NOT ENTER, and marked roadways.  </w:t>
      </w:r>
    </w:p>
    <w:p w:rsidR="00A214E7" w:rsidRPr="00A214E7" w:rsidRDefault="00A214E7" w:rsidP="00A214E7">
      <w:pPr>
        <w:pStyle w:val="ListParagraph"/>
        <w:rPr>
          <w:u w:val="single"/>
        </w:rPr>
      </w:pPr>
    </w:p>
    <w:p w:rsidR="00A214E7" w:rsidRPr="00C32349" w:rsidRDefault="00A214E7" w:rsidP="00A90C06">
      <w:pPr>
        <w:pStyle w:val="ListParagraph"/>
        <w:numPr>
          <w:ilvl w:val="0"/>
          <w:numId w:val="1"/>
        </w:numPr>
        <w:rPr>
          <w:u w:val="single"/>
        </w:rPr>
      </w:pPr>
      <w:r>
        <w:t xml:space="preserve">Always yield to pedestrians and slowdown in congested areas. </w:t>
      </w:r>
    </w:p>
    <w:p w:rsidR="00C32349" w:rsidRPr="00C32349" w:rsidRDefault="00C32349" w:rsidP="00C32349">
      <w:pPr>
        <w:rPr>
          <w:u w:val="single"/>
        </w:rPr>
      </w:pPr>
    </w:p>
    <w:p w:rsidR="00C32349" w:rsidRPr="00C32349" w:rsidRDefault="00C32349" w:rsidP="00C32349">
      <w:pPr>
        <w:pStyle w:val="ListParagraph"/>
        <w:numPr>
          <w:ilvl w:val="0"/>
          <w:numId w:val="1"/>
        </w:numPr>
        <w:rPr>
          <w:u w:val="single"/>
        </w:rPr>
      </w:pPr>
      <w:r w:rsidRPr="00C32349">
        <w:t xml:space="preserve">Vehicles shall only park in permitted areas. </w:t>
      </w:r>
    </w:p>
    <w:p w:rsidR="00C32349" w:rsidRPr="00C32349" w:rsidRDefault="00C32349" w:rsidP="00C32349">
      <w:pPr>
        <w:rPr>
          <w:u w:val="single"/>
        </w:rPr>
      </w:pPr>
    </w:p>
    <w:p w:rsidR="00C32349" w:rsidRPr="00C32349" w:rsidRDefault="00C32349" w:rsidP="00C32349">
      <w:pPr>
        <w:pStyle w:val="ListParagraph"/>
        <w:numPr>
          <w:ilvl w:val="0"/>
          <w:numId w:val="1"/>
        </w:numPr>
        <w:rPr>
          <w:u w:val="single"/>
        </w:rPr>
      </w:pPr>
      <w:r w:rsidRPr="00C32349">
        <w:t>The use of electronic devices and cell phones</w:t>
      </w:r>
      <w:r w:rsidR="00725D6A">
        <w:t xml:space="preserve"> while driving or in a work area</w:t>
      </w:r>
      <w:r w:rsidRPr="00C32349">
        <w:t>, including head phones and hands-free headsets, is prohibited.</w:t>
      </w:r>
    </w:p>
    <w:p w:rsidR="00C32349" w:rsidRPr="00C32349" w:rsidRDefault="00C32349" w:rsidP="00C32349">
      <w:pPr>
        <w:rPr>
          <w:u w:val="single"/>
        </w:rPr>
      </w:pPr>
    </w:p>
    <w:p w:rsidR="00C32349" w:rsidRPr="00C32349" w:rsidRDefault="00C32349" w:rsidP="00C32349">
      <w:pPr>
        <w:pStyle w:val="ListParagraph"/>
        <w:numPr>
          <w:ilvl w:val="0"/>
          <w:numId w:val="1"/>
        </w:numPr>
        <w:rPr>
          <w:u w:val="single"/>
        </w:rPr>
      </w:pPr>
      <w:r w:rsidRPr="00C32349">
        <w:t xml:space="preserve">Massport </w:t>
      </w:r>
      <w:r w:rsidR="00A214E7">
        <w:t>vehicles and equipment</w:t>
      </w:r>
      <w:r w:rsidRPr="00C32349">
        <w:t xml:space="preserve"> have the right of way.  Driving on the RTG crane wheel lane or pier is prohibited. </w:t>
      </w:r>
    </w:p>
    <w:p w:rsidR="00C32349" w:rsidRPr="00C32349" w:rsidRDefault="00C32349" w:rsidP="00C32349">
      <w:pPr>
        <w:rPr>
          <w:u w:val="single"/>
        </w:rPr>
      </w:pPr>
    </w:p>
    <w:p w:rsidR="00C32349" w:rsidRPr="00C32349" w:rsidRDefault="00C32349" w:rsidP="00C32349">
      <w:pPr>
        <w:pStyle w:val="ListParagraph"/>
        <w:numPr>
          <w:ilvl w:val="0"/>
          <w:numId w:val="1"/>
        </w:numPr>
        <w:rPr>
          <w:u w:val="single"/>
        </w:rPr>
      </w:pPr>
      <w:r w:rsidRPr="00C32349">
        <w:t xml:space="preserve">Vehicles shall only use roadways, cutting through the container stacks is prohibited. </w:t>
      </w:r>
    </w:p>
    <w:p w:rsidR="00C32349" w:rsidRPr="00C32349" w:rsidRDefault="00C32349" w:rsidP="00C32349">
      <w:pPr>
        <w:pStyle w:val="ListParagraph"/>
        <w:rPr>
          <w:u w:val="single"/>
        </w:rPr>
      </w:pPr>
    </w:p>
    <w:p w:rsidR="00C32349" w:rsidRPr="00A214E7" w:rsidRDefault="00C32349" w:rsidP="00C32349">
      <w:pPr>
        <w:pStyle w:val="ListParagraph"/>
        <w:numPr>
          <w:ilvl w:val="0"/>
          <w:numId w:val="1"/>
        </w:numPr>
        <w:rPr>
          <w:u w:val="single"/>
        </w:rPr>
      </w:pPr>
      <w:r>
        <w:t>Drivers</w:t>
      </w:r>
      <w:r w:rsidR="00B54A15">
        <w:t xml:space="preserve"> </w:t>
      </w:r>
      <w:r w:rsidR="00A214E7">
        <w:t xml:space="preserve">must </w:t>
      </w:r>
      <w:r w:rsidR="00B54A15">
        <w:t>be outside of their cab</w:t>
      </w:r>
      <w:r w:rsidR="00A214E7">
        <w:t xml:space="preserve"> within close vicinity of their truck</w:t>
      </w:r>
      <w:r w:rsidR="00B54A15">
        <w:t xml:space="preserve">, in view of the crane operator, to deliver or accept a container to their chassis.  The driver is responsible </w:t>
      </w:r>
      <w:r w:rsidR="00A214E7">
        <w:t xml:space="preserve">for </w:t>
      </w:r>
      <w:proofErr w:type="gramStart"/>
      <w:r w:rsidR="00A214E7">
        <w:t>u</w:t>
      </w:r>
      <w:bookmarkStart w:id="0" w:name="_GoBack"/>
      <w:bookmarkEnd w:id="0"/>
      <w:r w:rsidR="00A214E7">
        <w:t>n/</w:t>
      </w:r>
      <w:proofErr w:type="gramEnd"/>
      <w:r w:rsidR="00A214E7">
        <w:t>pinning</w:t>
      </w:r>
      <w:r w:rsidR="00B54A15">
        <w:t xml:space="preserve"> </w:t>
      </w:r>
      <w:r w:rsidR="00A214E7">
        <w:t xml:space="preserve">the container from the chassis before dismount and/or after retrieval.  </w:t>
      </w:r>
    </w:p>
    <w:p w:rsidR="00A214E7" w:rsidRPr="00A214E7" w:rsidRDefault="00A214E7" w:rsidP="00A214E7">
      <w:pPr>
        <w:pStyle w:val="ListParagraph"/>
        <w:rPr>
          <w:u w:val="single"/>
        </w:rPr>
      </w:pPr>
    </w:p>
    <w:p w:rsidR="00A214E7" w:rsidRPr="00A214E7" w:rsidRDefault="00A214E7" w:rsidP="00C32349">
      <w:pPr>
        <w:pStyle w:val="ListParagraph"/>
        <w:numPr>
          <w:ilvl w:val="0"/>
          <w:numId w:val="1"/>
        </w:numPr>
        <w:rPr>
          <w:u w:val="single"/>
        </w:rPr>
      </w:pPr>
      <w:r>
        <w:t xml:space="preserve">Drivers walking in or around container stack areas is prohibited.  </w:t>
      </w:r>
    </w:p>
    <w:p w:rsidR="00A214E7" w:rsidRPr="00A214E7" w:rsidRDefault="00A214E7" w:rsidP="00A214E7">
      <w:pPr>
        <w:pStyle w:val="ListParagraph"/>
        <w:rPr>
          <w:u w:val="single"/>
        </w:rPr>
      </w:pPr>
    </w:p>
    <w:p w:rsidR="00A214E7" w:rsidRPr="00A214E7" w:rsidRDefault="00A214E7" w:rsidP="00C32349">
      <w:pPr>
        <w:pStyle w:val="ListParagraph"/>
        <w:numPr>
          <w:ilvl w:val="0"/>
          <w:numId w:val="1"/>
        </w:numPr>
        <w:rPr>
          <w:u w:val="single"/>
        </w:rPr>
      </w:pPr>
      <w:r>
        <w:t xml:space="preserve">Never drive or walk under a suspended load.  Always be aware of your surroundings. </w:t>
      </w:r>
    </w:p>
    <w:p w:rsidR="00A214E7" w:rsidRPr="00A214E7" w:rsidRDefault="00A214E7" w:rsidP="00A214E7">
      <w:pPr>
        <w:pStyle w:val="ListParagraph"/>
        <w:rPr>
          <w:u w:val="single"/>
        </w:rPr>
      </w:pPr>
    </w:p>
    <w:p w:rsidR="00A214E7" w:rsidRPr="00A214E7" w:rsidRDefault="00A214E7" w:rsidP="00C32349">
      <w:pPr>
        <w:pStyle w:val="ListParagraph"/>
        <w:numPr>
          <w:ilvl w:val="0"/>
          <w:numId w:val="1"/>
        </w:numPr>
        <w:rPr>
          <w:u w:val="single"/>
        </w:rPr>
      </w:pPr>
      <w:r>
        <w:t>In the event of an incident, environmental leak, safety issue, security issue or service issue, notify Massport Terminal Management or Massport Police (617) 464-8250</w:t>
      </w:r>
    </w:p>
    <w:p w:rsidR="00A214E7" w:rsidRDefault="00A214E7" w:rsidP="00A214E7">
      <w:pPr>
        <w:pStyle w:val="ListParagraph"/>
      </w:pPr>
    </w:p>
    <w:p w:rsidR="00A214E7" w:rsidRPr="00A214E7" w:rsidRDefault="00A214E7" w:rsidP="00C32349">
      <w:pPr>
        <w:pStyle w:val="ListParagraph"/>
        <w:numPr>
          <w:ilvl w:val="0"/>
          <w:numId w:val="1"/>
        </w:numPr>
        <w:rPr>
          <w:u w:val="single"/>
        </w:rPr>
      </w:pPr>
      <w:r>
        <w:t>All incidents resulting in equipment damage must be rep</w:t>
      </w:r>
      <w:r w:rsidR="00DB5C63">
        <w:t xml:space="preserve">orted to Massport Management before leaving the premises.  Damage or claims filed after the equipment or driver has left the premises will be rejected. </w:t>
      </w:r>
      <w:r>
        <w:t xml:space="preserve"> </w:t>
      </w:r>
    </w:p>
    <w:p w:rsidR="00A214E7" w:rsidRPr="00A214E7" w:rsidRDefault="00DB5C63" w:rsidP="00725D6A">
      <w:pPr>
        <w:pStyle w:val="ListParagraph"/>
        <w:jc w:val="center"/>
        <w:rPr>
          <w:u w:val="single"/>
        </w:rPr>
      </w:pPr>
      <w:r>
        <w:rPr>
          <w:noProof/>
        </w:rPr>
        <w:drawing>
          <wp:inline distT="0" distB="0" distL="0" distR="0">
            <wp:extent cx="666750" cy="666750"/>
            <wp:effectExtent l="0" t="0" r="0" b="0"/>
            <wp:docPr id="3" name="Picture 3" descr="1,576 Safety Vest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76 Safety Vest Illustrations &amp;amp; Clip Art - i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725D6A">
        <w:rPr>
          <w:u w:val="single"/>
        </w:rPr>
        <w:t xml:space="preserve">   </w:t>
      </w:r>
      <w:r w:rsidR="00725D6A">
        <w:rPr>
          <w:noProof/>
        </w:rPr>
        <w:drawing>
          <wp:inline distT="0" distB="0" distL="0" distR="0" wp14:anchorId="238CCBE6" wp14:editId="6B76E994">
            <wp:extent cx="711200" cy="711200"/>
            <wp:effectExtent l="0" t="0" r="0" b="0"/>
            <wp:docPr id="7" name="Picture 7" descr="please leave your footwear outside poster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ease leave your footwear outside posters - Clip 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sidR="00725D6A">
        <w:rPr>
          <w:u w:val="single"/>
        </w:rPr>
        <w:t xml:space="preserve">   </w:t>
      </w:r>
      <w:r w:rsidR="00725D6A" w:rsidRPr="00725D6A">
        <w:rPr>
          <w:noProof/>
        </w:rPr>
        <w:drawing>
          <wp:inline distT="0" distB="0" distL="0" distR="0">
            <wp:extent cx="596900" cy="596900"/>
            <wp:effectExtent l="0" t="0" r="0" b="0"/>
            <wp:docPr id="9" name="Picture 9" descr="C:\Users\mwigglesworth\AppData\Local\Microsoft\Windows\INetCache\Content.MSO\222F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wigglesworth\AppData\Local\Microsoft\Windows\INetCache\Content.MSO\222FF7.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pic:spPr>
                </pic:pic>
              </a:graphicData>
            </a:graphic>
          </wp:inline>
        </w:drawing>
      </w:r>
      <w:r w:rsidR="00725D6A">
        <w:rPr>
          <w:u w:val="single"/>
        </w:rPr>
        <w:t xml:space="preserve">   </w:t>
      </w:r>
      <w:r w:rsidRPr="00DB5C63">
        <w:rPr>
          <w:noProof/>
        </w:rPr>
        <w:drawing>
          <wp:inline distT="0" distB="0" distL="0" distR="0">
            <wp:extent cx="641350" cy="670158"/>
            <wp:effectExtent l="0" t="0" r="6350" b="0"/>
            <wp:docPr id="8" name="Picture 8" descr="C:\Users\mwigglesworth\AppData\Local\Microsoft\Windows\INetCache\Content.MSO\A18E0B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wigglesworth\AppData\Local\Microsoft\Windows\INetCache\Content.MSO\A18E0B41.tmp"/>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9244"/>
                    <a:stretch/>
                  </pic:blipFill>
                  <pic:spPr bwMode="auto">
                    <a:xfrm>
                      <a:off x="0" y="0"/>
                      <a:ext cx="663286" cy="693079"/>
                    </a:xfrm>
                    <a:prstGeom prst="rect">
                      <a:avLst/>
                    </a:prstGeom>
                    <a:noFill/>
                    <a:ln>
                      <a:noFill/>
                    </a:ln>
                    <a:extLst>
                      <a:ext uri="{53640926-AAD7-44D8-BBD7-CCE9431645EC}">
                        <a14:shadowObscured xmlns:a14="http://schemas.microsoft.com/office/drawing/2010/main"/>
                      </a:ext>
                    </a:extLst>
                  </pic:spPr>
                </pic:pic>
              </a:graphicData>
            </a:graphic>
          </wp:inline>
        </w:drawing>
      </w:r>
      <w:r w:rsidR="00725D6A">
        <w:rPr>
          <w:u w:val="single"/>
        </w:rPr>
        <w:t xml:space="preserve">   </w:t>
      </w:r>
      <w:r>
        <w:rPr>
          <w:noProof/>
        </w:rPr>
        <w:drawing>
          <wp:inline distT="0" distB="0" distL="0" distR="0">
            <wp:extent cx="654050" cy="654050"/>
            <wp:effectExtent l="0" t="0" r="0" b="0"/>
            <wp:docPr id="6" name="Picture 6" descr="No Cell Phones Allowed clip art Free vector in Open office drawing svg (  .svg ) vector illustration graphic art design format format for free  download 69.16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 Cell Phones Allowed clip art Free vector in Open office drawing svg (  .svg ) vector illustration graphic art design format format for free  download 69.16K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inline>
        </w:drawing>
      </w:r>
    </w:p>
    <w:sectPr w:rsidR="00A214E7" w:rsidRPr="00A214E7" w:rsidSect="00A8388E">
      <w:headerReference w:type="default" r:id="rId12"/>
      <w:headerReference w:type="first" r:id="rId13"/>
      <w:footerReference w:type="first" r:id="rId14"/>
      <w:pgSz w:w="12240" w:h="15840" w:code="1"/>
      <w:pgMar w:top="720" w:right="1440" w:bottom="144" w:left="1440" w:header="720" w:footer="5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72F" w:rsidRDefault="00B7372F">
      <w:r>
        <w:separator/>
      </w:r>
    </w:p>
  </w:endnote>
  <w:endnote w:type="continuationSeparator" w:id="0">
    <w:p w:rsidR="00B7372F" w:rsidRDefault="00B7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626" w:rsidRDefault="006A51AD">
    <w:pPr>
      <w:pStyle w:val="Footer"/>
      <w:tabs>
        <w:tab w:val="clear" w:pos="4320"/>
        <w:tab w:val="clear" w:pos="8640"/>
      </w:tabs>
      <w:ind w:left="1440" w:hanging="900"/>
      <w:rPr>
        <w:rFonts w:ascii="Arial" w:hAnsi="Arial" w:cs="Arial"/>
        <w:sz w:val="12"/>
      </w:rPr>
    </w:pPr>
    <w:r>
      <w:rPr>
        <w:rFonts w:ascii="Arial" w:hAnsi="Arial" w:cs="Arial"/>
        <w:b/>
        <w:bCs/>
        <w:sz w:val="15"/>
      </w:rPr>
      <w:tab/>
    </w:r>
  </w:p>
  <w:p w:rsidR="002B3626" w:rsidRDefault="00A8388E">
    <w:pPr>
      <w:pStyle w:val="Footer"/>
      <w:tabs>
        <w:tab w:val="clear" w:pos="4320"/>
        <w:tab w:val="clear" w:pos="8640"/>
      </w:tabs>
      <w:ind w:left="1440" w:hanging="900"/>
      <w:rPr>
        <w:rFonts w:ascii="Arial" w:hAnsi="Arial"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72F" w:rsidRDefault="00B7372F">
      <w:r>
        <w:separator/>
      </w:r>
    </w:p>
  </w:footnote>
  <w:footnote w:type="continuationSeparator" w:id="0">
    <w:p w:rsidR="00B7372F" w:rsidRDefault="00B7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E4D" w:rsidRDefault="00A8388E" w:rsidP="00D00710">
    <w:pPr>
      <w:tabs>
        <w:tab w:val="left" w:pos="48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90" w:type="dxa"/>
      <w:tblInd w:w="-792" w:type="dxa"/>
      <w:tblLayout w:type="fixed"/>
      <w:tblLook w:val="0000" w:firstRow="0" w:lastRow="0" w:firstColumn="0" w:lastColumn="0" w:noHBand="0" w:noVBand="0"/>
    </w:tblPr>
    <w:tblGrid>
      <w:gridCol w:w="2250"/>
      <w:gridCol w:w="8640"/>
    </w:tblGrid>
    <w:tr w:rsidR="002B3626" w:rsidTr="008E1B3B">
      <w:trPr>
        <w:cantSplit/>
        <w:trHeight w:val="1225"/>
      </w:trPr>
      <w:tc>
        <w:tcPr>
          <w:tcW w:w="2250" w:type="dxa"/>
          <w:tcBorders>
            <w:right w:val="single" w:sz="4" w:space="0" w:color="auto"/>
          </w:tcBorders>
          <w:vAlign w:val="center"/>
        </w:tcPr>
        <w:p w:rsidR="002B3626" w:rsidRDefault="006A51AD">
          <w:r>
            <w:rPr>
              <w:noProof/>
            </w:rPr>
            <w:drawing>
              <wp:inline distT="0" distB="0" distL="0" distR="0" wp14:anchorId="12EFB267" wp14:editId="109BCC26">
                <wp:extent cx="1257300" cy="638175"/>
                <wp:effectExtent l="0" t="0" r="0" b="9525"/>
                <wp:docPr id="1" name="Picture 1" descr="2010 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 MPA Logo"/>
                        <pic:cNvPicPr>
                          <a:picLocks noChangeAspect="1" noChangeArrowheads="1"/>
                        </pic:cNvPicPr>
                      </pic:nvPicPr>
                      <pic:blipFill>
                        <a:blip r:embed="rId1">
                          <a:extLst>
                            <a:ext uri="{28A0092B-C50C-407E-A947-70E740481C1C}">
                              <a14:useLocalDpi xmlns:a14="http://schemas.microsoft.com/office/drawing/2010/main" val="0"/>
                            </a:ext>
                          </a:extLst>
                        </a:blip>
                        <a:srcRect l="12500" t="19403" r="11607" b="16418"/>
                        <a:stretch>
                          <a:fillRect/>
                        </a:stretch>
                      </pic:blipFill>
                      <pic:spPr bwMode="auto">
                        <a:xfrm>
                          <a:off x="0" y="0"/>
                          <a:ext cx="1257300" cy="638175"/>
                        </a:xfrm>
                        <a:prstGeom prst="rect">
                          <a:avLst/>
                        </a:prstGeom>
                        <a:noFill/>
                        <a:ln>
                          <a:noFill/>
                        </a:ln>
                      </pic:spPr>
                    </pic:pic>
                  </a:graphicData>
                </a:graphic>
              </wp:inline>
            </w:drawing>
          </w:r>
        </w:p>
      </w:tc>
      <w:tc>
        <w:tcPr>
          <w:tcW w:w="8640" w:type="dxa"/>
          <w:tcBorders>
            <w:left w:val="single" w:sz="4" w:space="0" w:color="auto"/>
          </w:tcBorders>
          <w:vAlign w:val="bottom"/>
        </w:tcPr>
        <w:p w:rsidR="002B3626" w:rsidRPr="00A90C06" w:rsidRDefault="006A51AD">
          <w:pPr>
            <w:pStyle w:val="Letterhead"/>
            <w:spacing w:after="30"/>
            <w:rPr>
              <w:b/>
              <w:color w:val="365F91" w:themeColor="accent1" w:themeShade="BF"/>
            </w:rPr>
          </w:pPr>
          <w:r w:rsidRPr="00A90C06">
            <w:rPr>
              <w:b/>
              <w:color w:val="365F91" w:themeColor="accent1" w:themeShade="BF"/>
            </w:rPr>
            <w:t>Massachusetts Port Authority</w:t>
          </w:r>
          <w:r w:rsidR="00A90C06" w:rsidRPr="00A90C06">
            <w:rPr>
              <w:b/>
              <w:color w:val="365F91" w:themeColor="accent1" w:themeShade="BF"/>
            </w:rPr>
            <w:t xml:space="preserve"> </w:t>
          </w:r>
        </w:p>
        <w:p w:rsidR="002B3626" w:rsidRPr="00A90C06" w:rsidRDefault="00A90C06">
          <w:pPr>
            <w:pStyle w:val="Letterhead"/>
            <w:spacing w:after="30"/>
            <w:rPr>
              <w:b/>
              <w:color w:val="365F91" w:themeColor="accent1" w:themeShade="BF"/>
            </w:rPr>
          </w:pPr>
          <w:r w:rsidRPr="00A90C06">
            <w:rPr>
              <w:b/>
              <w:color w:val="365F91" w:themeColor="accent1" w:themeShade="BF"/>
            </w:rPr>
            <w:t xml:space="preserve">Conley Terminal </w:t>
          </w:r>
        </w:p>
        <w:p w:rsidR="002B3626" w:rsidRDefault="00A90C06">
          <w:pPr>
            <w:pStyle w:val="Letterhead"/>
            <w:spacing w:after="30"/>
          </w:pPr>
          <w:r>
            <w:t xml:space="preserve">700 Summer Street </w:t>
          </w:r>
        </w:p>
        <w:p w:rsidR="002B3626" w:rsidRDefault="00A90C06">
          <w:pPr>
            <w:pStyle w:val="Letterhead"/>
            <w:spacing w:after="30"/>
          </w:pPr>
          <w:r>
            <w:t>South Boston, 02127</w:t>
          </w:r>
        </w:p>
        <w:p w:rsidR="002B3626" w:rsidRDefault="006A51AD">
          <w:pPr>
            <w:pStyle w:val="Letterhead"/>
            <w:spacing w:after="30"/>
          </w:pPr>
          <w:r>
            <w:t>www.massport.com</w:t>
          </w:r>
          <w:r w:rsidR="00A90C06">
            <w:t>/conley-terminal/</w:t>
          </w:r>
        </w:p>
      </w:tc>
    </w:tr>
    <w:tr w:rsidR="002B3626" w:rsidTr="008E1B3B">
      <w:trPr>
        <w:trHeight w:hRule="exact" w:val="144"/>
      </w:trPr>
      <w:tc>
        <w:tcPr>
          <w:tcW w:w="2250" w:type="dxa"/>
          <w:tcBorders>
            <w:bottom w:val="single" w:sz="4" w:space="0" w:color="auto"/>
          </w:tcBorders>
          <w:vAlign w:val="center"/>
        </w:tcPr>
        <w:p w:rsidR="002B3626" w:rsidRDefault="00A8388E"/>
      </w:tc>
      <w:tc>
        <w:tcPr>
          <w:tcW w:w="8640" w:type="dxa"/>
          <w:tcBorders>
            <w:bottom w:val="single" w:sz="4" w:space="0" w:color="auto"/>
          </w:tcBorders>
          <w:vAlign w:val="center"/>
        </w:tcPr>
        <w:p w:rsidR="002B3626" w:rsidRDefault="00A8388E">
          <w:pPr>
            <w:spacing w:before="100" w:beforeAutospacing="1" w:after="10"/>
            <w:rPr>
              <w:rFonts w:ascii="Arial" w:hAnsi="Arial" w:cs="Arial"/>
              <w:b/>
              <w:bCs/>
              <w:sz w:val="16"/>
            </w:rPr>
          </w:pPr>
        </w:p>
      </w:tc>
    </w:tr>
  </w:tbl>
  <w:p w:rsidR="002B3626" w:rsidRDefault="00A8388E">
    <w:pPr>
      <w:pStyle w:val="Header"/>
      <w:tabs>
        <w:tab w:val="clear" w:pos="720"/>
        <w:tab w:val="clear" w:pos="1800"/>
        <w:tab w:val="clear" w:pos="9360"/>
      </w:tabs>
      <w:ind w:left="-99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A3576"/>
    <w:multiLevelType w:val="hybridMultilevel"/>
    <w:tmpl w:val="8ADE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87"/>
    <w:rsid w:val="001B0540"/>
    <w:rsid w:val="001C74DE"/>
    <w:rsid w:val="001F174C"/>
    <w:rsid w:val="00237EAD"/>
    <w:rsid w:val="004A0BF7"/>
    <w:rsid w:val="004A1AD4"/>
    <w:rsid w:val="004E4EA0"/>
    <w:rsid w:val="004F3095"/>
    <w:rsid w:val="0056230C"/>
    <w:rsid w:val="00591B65"/>
    <w:rsid w:val="00695DCD"/>
    <w:rsid w:val="006A51AD"/>
    <w:rsid w:val="006D2C65"/>
    <w:rsid w:val="00725D6A"/>
    <w:rsid w:val="00740411"/>
    <w:rsid w:val="008D66D3"/>
    <w:rsid w:val="008E6494"/>
    <w:rsid w:val="009266F1"/>
    <w:rsid w:val="009E42B5"/>
    <w:rsid w:val="00A214E7"/>
    <w:rsid w:val="00A8388E"/>
    <w:rsid w:val="00A90C06"/>
    <w:rsid w:val="00B05E06"/>
    <w:rsid w:val="00B54A15"/>
    <w:rsid w:val="00B557F5"/>
    <w:rsid w:val="00B7372F"/>
    <w:rsid w:val="00BF581E"/>
    <w:rsid w:val="00C32349"/>
    <w:rsid w:val="00C75966"/>
    <w:rsid w:val="00C936B4"/>
    <w:rsid w:val="00D351C5"/>
    <w:rsid w:val="00D516B9"/>
    <w:rsid w:val="00DA2350"/>
    <w:rsid w:val="00DB5C63"/>
    <w:rsid w:val="00DC0928"/>
    <w:rsid w:val="00E12567"/>
    <w:rsid w:val="00E162E4"/>
    <w:rsid w:val="00EA6DF9"/>
    <w:rsid w:val="00F26F87"/>
    <w:rsid w:val="00F30547"/>
    <w:rsid w:val="00F77BF6"/>
    <w:rsid w:val="00F80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587E"/>
  <w15:docId w15:val="{879CF7AA-0F3F-49CD-9DEE-17799469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F8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6D2C65"/>
    <w:pPr>
      <w:ind w:firstLine="600"/>
    </w:pPr>
    <w:rPr>
      <w:szCs w:val="20"/>
    </w:rPr>
  </w:style>
  <w:style w:type="character" w:customStyle="1" w:styleId="BodyTextChar">
    <w:name w:val="Body Text Char"/>
    <w:basedOn w:val="DefaultParagraphFont"/>
    <w:link w:val="BodyText"/>
    <w:rsid w:val="006D2C65"/>
    <w:rPr>
      <w:rFonts w:ascii="Times New Roman" w:eastAsia="Times New Roman" w:hAnsi="Times New Roman" w:cs="Times New Roman"/>
      <w:sz w:val="24"/>
      <w:szCs w:val="20"/>
    </w:rPr>
  </w:style>
  <w:style w:type="paragraph" w:styleId="Header">
    <w:name w:val="header"/>
    <w:basedOn w:val="Normal"/>
    <w:link w:val="HeaderChar"/>
    <w:uiPriority w:val="99"/>
    <w:rsid w:val="00F26F87"/>
    <w:pPr>
      <w:tabs>
        <w:tab w:val="left" w:pos="720"/>
        <w:tab w:val="left" w:pos="1800"/>
        <w:tab w:val="right" w:pos="9360"/>
      </w:tabs>
      <w:overflowPunct w:val="0"/>
      <w:autoSpaceDE w:val="0"/>
      <w:autoSpaceDN w:val="0"/>
      <w:adjustRightInd w:val="0"/>
      <w:textAlignment w:val="baseline"/>
    </w:pPr>
    <w:rPr>
      <w:szCs w:val="20"/>
      <w:lang w:val="x-none" w:eastAsia="x-none"/>
    </w:rPr>
  </w:style>
  <w:style w:type="character" w:customStyle="1" w:styleId="HeaderChar">
    <w:name w:val="Header Char"/>
    <w:basedOn w:val="DefaultParagraphFont"/>
    <w:link w:val="Header"/>
    <w:uiPriority w:val="99"/>
    <w:rsid w:val="00F26F87"/>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F26F87"/>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F26F87"/>
    <w:rPr>
      <w:rFonts w:ascii="Times New Roman" w:eastAsia="Times New Roman" w:hAnsi="Times New Roman" w:cs="Times New Roman"/>
      <w:sz w:val="24"/>
      <w:szCs w:val="20"/>
    </w:rPr>
  </w:style>
  <w:style w:type="paragraph" w:customStyle="1" w:styleId="LtrSalutation">
    <w:name w:val="LtrSalutation"/>
    <w:basedOn w:val="Normal"/>
    <w:next w:val="BodyTextFirstIndent"/>
    <w:rsid w:val="00F26F87"/>
    <w:pPr>
      <w:overflowPunct w:val="0"/>
      <w:autoSpaceDE w:val="0"/>
      <w:autoSpaceDN w:val="0"/>
      <w:adjustRightInd w:val="0"/>
      <w:spacing w:after="240"/>
      <w:textAlignment w:val="baseline"/>
    </w:pPr>
    <w:rPr>
      <w:szCs w:val="20"/>
    </w:rPr>
  </w:style>
  <w:style w:type="paragraph" w:customStyle="1" w:styleId="Letterhead">
    <w:name w:val="Letterhead"/>
    <w:basedOn w:val="Normal"/>
    <w:rsid w:val="00F26F87"/>
    <w:pPr>
      <w:overflowPunct w:val="0"/>
      <w:autoSpaceDE w:val="0"/>
      <w:autoSpaceDN w:val="0"/>
      <w:adjustRightInd w:val="0"/>
      <w:spacing w:after="10"/>
      <w:textAlignment w:val="baseline"/>
    </w:pPr>
    <w:rPr>
      <w:rFonts w:ascii="Arial" w:hAnsi="Arial"/>
      <w:sz w:val="16"/>
      <w:szCs w:val="20"/>
    </w:rPr>
  </w:style>
  <w:style w:type="paragraph" w:customStyle="1" w:styleId="Attachenc">
    <w:name w:val="Attachenc"/>
    <w:basedOn w:val="Normal"/>
    <w:qFormat/>
    <w:rsid w:val="00F26F87"/>
  </w:style>
  <w:style w:type="paragraph" w:styleId="BodyTextFirstIndent">
    <w:name w:val="Body Text First Indent"/>
    <w:basedOn w:val="BodyText"/>
    <w:link w:val="BodyTextFirstIndentChar"/>
    <w:uiPriority w:val="99"/>
    <w:semiHidden/>
    <w:unhideWhenUsed/>
    <w:rsid w:val="00F26F87"/>
    <w:pPr>
      <w:ind w:firstLine="360"/>
    </w:pPr>
    <w:rPr>
      <w:szCs w:val="24"/>
    </w:rPr>
  </w:style>
  <w:style w:type="character" w:customStyle="1" w:styleId="BodyTextFirstIndentChar">
    <w:name w:val="Body Text First Indent Char"/>
    <w:basedOn w:val="BodyTextChar"/>
    <w:link w:val="BodyTextFirstIndent"/>
    <w:uiPriority w:val="99"/>
    <w:semiHidden/>
    <w:rsid w:val="00F26F8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26F87"/>
    <w:rPr>
      <w:rFonts w:ascii="Tahoma" w:hAnsi="Tahoma" w:cs="Tahoma"/>
      <w:sz w:val="16"/>
      <w:szCs w:val="16"/>
    </w:rPr>
  </w:style>
  <w:style w:type="character" w:customStyle="1" w:styleId="BalloonTextChar">
    <w:name w:val="Balloon Text Char"/>
    <w:basedOn w:val="DefaultParagraphFont"/>
    <w:link w:val="BalloonText"/>
    <w:uiPriority w:val="99"/>
    <w:semiHidden/>
    <w:rsid w:val="00F26F87"/>
    <w:rPr>
      <w:rFonts w:ascii="Tahoma" w:eastAsia="Times New Roman" w:hAnsi="Tahoma" w:cs="Tahoma"/>
      <w:sz w:val="16"/>
      <w:szCs w:val="16"/>
    </w:rPr>
  </w:style>
  <w:style w:type="paragraph" w:styleId="ListParagraph">
    <w:name w:val="List Paragraph"/>
    <w:basedOn w:val="Normal"/>
    <w:uiPriority w:val="34"/>
    <w:qFormat/>
    <w:rsid w:val="00A90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0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Massacussetts Port Authoritive</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Wigglesworth, Maxwell</cp:lastModifiedBy>
  <cp:revision>3</cp:revision>
  <cp:lastPrinted>2016-10-24T17:37:00Z</cp:lastPrinted>
  <dcterms:created xsi:type="dcterms:W3CDTF">2021-10-08T18:00:00Z</dcterms:created>
  <dcterms:modified xsi:type="dcterms:W3CDTF">2021-10-08T18:02:00Z</dcterms:modified>
</cp:coreProperties>
</file>